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N 9</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spacing w:before="0"/>
        <w:spacing w:after="1"/>
      </w:pP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организации</w:t>
      </w:r>
    </w:p>
    <w:p>
      <w:pPr>
        <w:pStyle w:val="1"/>
        <w:jc w:val="both"/>
      </w:pPr>
      <w:r>
        <w:rPr>
          <w:sz w:val="20"/>
        </w:rPr>
        <w:t xml:space="preserve">               и осуществления образовательной деятельности</w:t>
      </w:r>
    </w:p>
    <w:p>
      <w:pPr>
        <w:pStyle w:val="1"/>
        <w:jc w:val="both"/>
      </w:pPr>
      <w:r>
        <w:rPr>
          <w:sz w:val="20"/>
        </w:rPr>
        <w:t xml:space="preserve">                  по образовательным программам среднего</w:t>
      </w:r>
    </w:p>
    <w:p>
      <w:pPr>
        <w:pStyle w:val="1"/>
        <w:jc w:val="both"/>
      </w:pPr>
      <w:r>
        <w:rPr>
          <w:sz w:val="20"/>
        </w:rPr>
        <w:t xml:space="preserve">                       профессионального образования</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Разработаны и утверждены ли образовательной организацией, реализующей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организация), по имеющим государственную аккредитацию образовательным программам среднего профессионального образования?</w:t>
            </w:r>
          </w:p>
        </w:tc>
        <w:tc>
          <w:tcPr>
            <w:tcW w:w="3572" w:type="dxa"/>
          </w:tcPr>
          <w:p>
            <w:pPr>
              <w:pStyle w:val="0"/>
              <w:jc w:val="center"/>
            </w:pPr>
            <w:hyperlink w:history="0" r:id="rId2"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11</w:t>
              </w:r>
            </w:hyperlink>
            <w:r>
              <w:rPr>
                <w:sz w:val="20"/>
              </w:rPr>
              <w:t xml:space="preserve"> Порядка организации и осуществления образовательной деятельности по образовательным программам среднего профессионального образования </w:t>
            </w:r>
            <w:hyperlink w:history="0" r:id="rId3" w:tooltip="Приказ Рособрнадзора от 08.07.2022 N 769 &quot;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quot; (Зарегистрировано в Минюсте России 03.10.2022 N 70346) {КонсультантПлюс}">
              <w:r>
                <w:rPr>
                  <w:sz w:val="20"/>
                  <w:color w:val="0000ff"/>
                </w:rPr>
                <w:t xml:space="preserve">&lt;1&gt;</w:t>
              </w:r>
            </w:hyperlink>
            <w:r>
              <w:rPr>
                <w:sz w:val="20"/>
              </w:rPr>
              <w:t xml:space="preserve"> (далее - Порядок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Разработаны ли организацией образовательные программы среднего профессионального образования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w:t>
            </w:r>
          </w:p>
        </w:tc>
        <w:tc>
          <w:tcPr>
            <w:tcW w:w="3572" w:type="dxa"/>
          </w:tcPr>
          <w:p>
            <w:pPr>
              <w:pStyle w:val="0"/>
              <w:jc w:val="center"/>
            </w:pPr>
            <w:hyperlink w:history="0" r:id="rId4"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11</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Разработаны ли организацией образовательные программы среднего профессионального образования, реализуемые на базе основного общего образования,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tc>
        <w:tc>
          <w:tcPr>
            <w:tcW w:w="3572" w:type="dxa"/>
          </w:tcPr>
          <w:p>
            <w:pPr>
              <w:pStyle w:val="0"/>
              <w:jc w:val="center"/>
            </w:pPr>
            <w:hyperlink w:history="0" r:id="rId5"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11</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4.</w:t>
            </w:r>
          </w:p>
        </w:tc>
        <w:tc>
          <w:tcPr>
            <w:tcW w:w="4365" w:type="dxa"/>
          </w:tcPr>
          <w:p>
            <w:pPr>
              <w:pStyle w:val="0"/>
              <w:jc w:val="both"/>
            </w:pPr>
            <w:r>
              <w:rPr>
                <w:sz w:val="20"/>
              </w:rPr>
              <w:t xml:space="preserve">Включает ли образовательная программа среднего профессионального образования:</w:t>
            </w:r>
          </w:p>
          <w:p>
            <w:pPr>
              <w:pStyle w:val="0"/>
              <w:jc w:val="both"/>
            </w:pPr>
            <w:r>
              <w:rPr>
                <w:sz w:val="20"/>
              </w:rPr>
              <w:t xml:space="preserve">- учебный план?</w:t>
            </w:r>
          </w:p>
        </w:tc>
        <w:tc>
          <w:tcPr>
            <w:tcW w:w="3572" w:type="dxa"/>
            <w:vMerge w:val="restart"/>
          </w:tcPr>
          <w:p>
            <w:pPr>
              <w:pStyle w:val="0"/>
              <w:jc w:val="center"/>
            </w:pPr>
            <w:hyperlink w:history="0" r:id="rId6"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календарный учебный график?</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рабочие программы учебных предметов, курсов, дисциплин (модулей)?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оценочные материалы?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методические материалы?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рабочую программу воспитания?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календарный план воспитательной работы?</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5.</w:t>
            </w:r>
          </w:p>
        </w:tc>
        <w:tc>
          <w:tcPr>
            <w:tcW w:w="4365" w:type="dxa"/>
          </w:tcPr>
          <w:p>
            <w:pPr>
              <w:pStyle w:val="0"/>
              <w:jc w:val="both"/>
            </w:pPr>
            <w:r>
              <w:rPr>
                <w:sz w:val="20"/>
              </w:rPr>
              <w:t xml:space="preserve">Определяет ли учебный план образовательной программы среднего профессионального образования:</w:t>
            </w:r>
          </w:p>
          <w:p>
            <w:pPr>
              <w:pStyle w:val="0"/>
              <w:jc w:val="both"/>
            </w:pPr>
            <w:r>
              <w:rPr>
                <w:sz w:val="20"/>
              </w:rPr>
              <w:t xml:space="preserve">- перечень, трудоемкость, последовательность и распределение по периодам обучения учебных предметов, курсов, дисциплин (модулей)?</w:t>
            </w:r>
          </w:p>
        </w:tc>
        <w:tc>
          <w:tcPr>
            <w:tcW w:w="3572" w:type="dxa"/>
            <w:vMerge w:val="restart"/>
          </w:tcPr>
          <w:p>
            <w:pPr>
              <w:pStyle w:val="0"/>
              <w:jc w:val="center"/>
            </w:pPr>
            <w:hyperlink w:history="0" r:id="rId7"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трудоемкость, последовательность и распределение по периодам обучения практики?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трудоемкость, последовательность и распределение по периодам обучения иных видов учебной деятельности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формы промежуточной аттестации?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Соблюдает ли организация требование о недопустимости использования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tc>
        <w:tc>
          <w:tcPr>
            <w:tcW w:w="3572" w:type="dxa"/>
          </w:tcPr>
          <w:p>
            <w:pPr>
              <w:pStyle w:val="0"/>
              <w:jc w:val="center"/>
            </w:pPr>
            <w:hyperlink w:history="0" r:id="rId8"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7.</w:t>
            </w:r>
          </w:p>
        </w:tc>
        <w:tc>
          <w:tcPr>
            <w:tcW w:w="4365" w:type="dxa"/>
          </w:tcPr>
          <w:p>
            <w:pPr>
              <w:pStyle w:val="0"/>
              <w:jc w:val="both"/>
            </w:pPr>
            <w:r>
              <w:rPr>
                <w:sz w:val="20"/>
              </w:rPr>
              <w:t xml:space="preserve">Предусматривает ли освоение образовательной программы среднего профессионального образования проведение практики обучающихся?</w:t>
            </w:r>
          </w:p>
        </w:tc>
        <w:tc>
          <w:tcPr>
            <w:tcW w:w="3572" w:type="dxa"/>
          </w:tcPr>
          <w:p>
            <w:pPr>
              <w:pStyle w:val="0"/>
              <w:jc w:val="center"/>
            </w:pPr>
            <w:hyperlink w:history="0" r:id="rId9"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17</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8.</w:t>
            </w:r>
          </w:p>
        </w:tc>
        <w:tc>
          <w:tcPr>
            <w:tcW w:w="4365" w:type="dxa"/>
          </w:tcPr>
          <w:p>
            <w:pPr>
              <w:pStyle w:val="0"/>
              <w:jc w:val="both"/>
            </w:pPr>
            <w:r>
              <w:rPr>
                <w:sz w:val="20"/>
              </w:rPr>
              <w:t xml:space="preserve">Организуется ли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в форме практической подготовки?</w:t>
            </w:r>
          </w:p>
        </w:tc>
        <w:tc>
          <w:tcPr>
            <w:tcW w:w="3572" w:type="dxa"/>
          </w:tcPr>
          <w:p>
            <w:pPr>
              <w:pStyle w:val="0"/>
              <w:jc w:val="center"/>
            </w:pPr>
            <w:hyperlink w:history="0" r:id="rId10"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17</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Обновляет ли организация образовательные программы среднего профессионального образования с учетом развития науки, техники, культуры, экономики, технологий и социальной сферы ежегодно?</w:t>
            </w:r>
          </w:p>
        </w:tc>
        <w:tc>
          <w:tcPr>
            <w:tcW w:w="3572" w:type="dxa"/>
          </w:tcPr>
          <w:p>
            <w:pPr>
              <w:pStyle w:val="0"/>
              <w:jc w:val="center"/>
            </w:pPr>
            <w:hyperlink w:history="0" r:id="rId11"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18</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Реализует ли организация образовательную программу, предусматривающую получение среднего профессионального образования на иностранном языке, утвердив в порядке, установленном законодательством об образовании, локальный нормативный акт, регламентирующий получение образования на иностранном языке?</w:t>
            </w:r>
          </w:p>
        </w:tc>
        <w:tc>
          <w:tcPr>
            <w:tcW w:w="3572" w:type="dxa"/>
          </w:tcPr>
          <w:p>
            <w:pPr>
              <w:pStyle w:val="0"/>
              <w:jc w:val="center"/>
            </w:pPr>
            <w:hyperlink w:history="0" r:id="rId12"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19</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Составлено ли организацией расписание учебных занятий по каждой профессии, специальности среднего профессионального образования в соответствии с учебными планами, календарными учебными графиками, рабочими программами воспитания и календарными планами воспитательной работы?</w:t>
            </w:r>
          </w:p>
        </w:tc>
        <w:tc>
          <w:tcPr>
            <w:tcW w:w="3572" w:type="dxa"/>
          </w:tcPr>
          <w:p>
            <w:pPr>
              <w:pStyle w:val="0"/>
              <w:jc w:val="center"/>
            </w:pPr>
            <w:hyperlink w:history="0" r:id="rId13"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20</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12.</w:t>
            </w:r>
          </w:p>
        </w:tc>
        <w:tc>
          <w:tcPr>
            <w:tcW w:w="4365" w:type="dxa"/>
          </w:tcPr>
          <w:p>
            <w:pPr>
              <w:pStyle w:val="0"/>
              <w:jc w:val="both"/>
            </w:pPr>
            <w:r>
              <w:rPr>
                <w:sz w:val="20"/>
              </w:rPr>
              <w:t xml:space="preserve">Обеспечено ли организацией получение среднего профессионального образования на базе основного общего образования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tc>
        <w:tc>
          <w:tcPr>
            <w:tcW w:w="3572" w:type="dxa"/>
          </w:tcPr>
          <w:p>
            <w:pPr>
              <w:pStyle w:val="0"/>
              <w:jc w:val="center"/>
            </w:pPr>
            <w:hyperlink w:history="0" r:id="rId14"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23</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Принят ли организацией локальный нормативный акт, устанавливающий порядок обучения по индивидуальному учебному плану, в том числе ускоренное обучение, в пределах осваиваемой образовательной программы?</w:t>
            </w:r>
          </w:p>
        </w:tc>
        <w:tc>
          <w:tcPr>
            <w:tcW w:w="3572" w:type="dxa"/>
          </w:tcPr>
          <w:p>
            <w:pPr>
              <w:pStyle w:val="0"/>
              <w:jc w:val="center"/>
            </w:pPr>
            <w:hyperlink w:history="0" r:id="rId15"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24</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14.</w:t>
            </w:r>
          </w:p>
        </w:tc>
        <w:tc>
          <w:tcPr>
            <w:tcW w:w="4365" w:type="dxa"/>
          </w:tcPr>
          <w:p>
            <w:pPr>
              <w:pStyle w:val="0"/>
              <w:jc w:val="both"/>
            </w:pPr>
            <w:r>
              <w:rPr>
                <w:sz w:val="20"/>
              </w:rPr>
              <w:t xml:space="preserve">Соблюдается ли организацией перенос начала учебного года при реализации образовательной программы среднего профессионального образования в очно-заочной форме обучения не более чем на 1 месяц, в заочной форме обучения - не более чем на 3 месяца?</w:t>
            </w:r>
          </w:p>
        </w:tc>
        <w:tc>
          <w:tcPr>
            <w:tcW w:w="3572" w:type="dxa"/>
          </w:tcPr>
          <w:p>
            <w:pPr>
              <w:pStyle w:val="0"/>
              <w:jc w:val="center"/>
            </w:pPr>
            <w:hyperlink w:history="0" r:id="rId16"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25</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15.</w:t>
            </w:r>
          </w:p>
        </w:tc>
        <w:tc>
          <w:tcPr>
            <w:tcW w:w="4365" w:type="dxa"/>
          </w:tcPr>
          <w:p>
            <w:pPr>
              <w:pStyle w:val="0"/>
              <w:jc w:val="both"/>
            </w:pPr>
            <w:r>
              <w:rPr>
                <w:sz w:val="20"/>
              </w:rPr>
              <w:t xml:space="preserve">Предоставляются ли обучающимся каникулы в процессе освоения образовательных программ среднего профессионального образования?</w:t>
            </w:r>
          </w:p>
        </w:tc>
        <w:tc>
          <w:tcPr>
            <w:tcW w:w="3572" w:type="dxa"/>
          </w:tcPr>
          <w:p>
            <w:pPr>
              <w:pStyle w:val="0"/>
              <w:jc w:val="center"/>
            </w:pPr>
            <w:hyperlink w:history="0" r:id="rId17"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16.</w:t>
            </w:r>
          </w:p>
        </w:tc>
        <w:tc>
          <w:tcPr>
            <w:tcW w:w="4365" w:type="dxa"/>
          </w:tcPr>
          <w:p>
            <w:pPr>
              <w:pStyle w:val="0"/>
              <w:jc w:val="both"/>
            </w:pPr>
            <w:r>
              <w:rPr>
                <w:sz w:val="20"/>
              </w:rPr>
              <w:t xml:space="preserve">Составляет ли продолжительность каникул, предоставляемых обучающимся в процессе освоения ими программ подготовки квалифицированных рабочих, служащих, не менее 2 недель в зимний период при сроке получения среднего профессионального образования 1 год?</w:t>
            </w:r>
          </w:p>
        </w:tc>
        <w:tc>
          <w:tcPr>
            <w:tcW w:w="3572" w:type="dxa"/>
          </w:tcPr>
          <w:p>
            <w:pPr>
              <w:pStyle w:val="0"/>
              <w:jc w:val="center"/>
            </w:pPr>
            <w:hyperlink w:history="0" r:id="rId18"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17.</w:t>
            </w:r>
          </w:p>
        </w:tc>
        <w:tc>
          <w:tcPr>
            <w:tcW w:w="4365" w:type="dxa"/>
          </w:tcPr>
          <w:p>
            <w:pPr>
              <w:pStyle w:val="0"/>
              <w:jc w:val="both"/>
            </w:pPr>
            <w:r>
              <w:rPr>
                <w:sz w:val="20"/>
              </w:rPr>
              <w:t xml:space="preserve">Составляет ли продолжительность каникул, предоставляемых обучающимся в процессе освоения ими программ подготовки квалифицированных рабочих, служащих, не менее 10 недель в учебном году, включающих не менее 2 недель в зимний период, при сроке получения среднего профессионального образования более 1 года?</w:t>
            </w:r>
          </w:p>
        </w:tc>
        <w:tc>
          <w:tcPr>
            <w:tcW w:w="3572" w:type="dxa"/>
          </w:tcPr>
          <w:p>
            <w:pPr>
              <w:pStyle w:val="0"/>
              <w:jc w:val="center"/>
            </w:pPr>
            <w:hyperlink w:history="0" r:id="rId19"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18.</w:t>
            </w:r>
          </w:p>
        </w:tc>
        <w:tc>
          <w:tcPr>
            <w:tcW w:w="4365" w:type="dxa"/>
          </w:tcPr>
          <w:p>
            <w:pPr>
              <w:pStyle w:val="0"/>
              <w:jc w:val="both"/>
            </w:pPr>
            <w:r>
              <w:rPr>
                <w:sz w:val="20"/>
              </w:rPr>
              <w:t xml:space="preserve">Составляет ли продолжительность каникул, предоставляемых обучающимся в процессе освоения ими программ подготовки специалистов среднего звена, от 8 до 11 недель в учебном году, в том числе не менее 2 недель в зимний период?</w:t>
            </w:r>
          </w:p>
        </w:tc>
        <w:tc>
          <w:tcPr>
            <w:tcW w:w="3572" w:type="dxa"/>
          </w:tcPr>
          <w:p>
            <w:pPr>
              <w:pStyle w:val="0"/>
              <w:jc w:val="center"/>
            </w:pPr>
            <w:hyperlink w:history="0" r:id="rId20"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19.</w:t>
            </w:r>
          </w:p>
        </w:tc>
        <w:tc>
          <w:tcPr>
            <w:tcW w:w="4365" w:type="dxa"/>
          </w:tcPr>
          <w:p>
            <w:pPr>
              <w:pStyle w:val="0"/>
              <w:jc w:val="both"/>
            </w:pPr>
            <w:r>
              <w:rPr>
                <w:sz w:val="20"/>
              </w:rPr>
              <w:t xml:space="preserve">Предусматривает ли учебная деятельность обучающихся:</w:t>
            </w:r>
          </w:p>
          <w:p>
            <w:pPr>
              <w:pStyle w:val="0"/>
              <w:jc w:val="both"/>
            </w:pPr>
            <w:r>
              <w:rPr>
                <w:sz w:val="20"/>
              </w:rPr>
              <w:t xml:space="preserve">- учебные занятия (урок, практическое занятие, лабораторное занятие, консультация, лекция, семинар)?</w:t>
            </w:r>
          </w:p>
        </w:tc>
        <w:tc>
          <w:tcPr>
            <w:tcW w:w="3572" w:type="dxa"/>
            <w:vMerge w:val="restart"/>
          </w:tcPr>
          <w:p>
            <w:pPr>
              <w:pStyle w:val="0"/>
              <w:jc w:val="center"/>
            </w:pPr>
            <w:hyperlink w:history="0" r:id="rId21"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28</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самостоятельную работу?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выполнение курсового проекта (работы" (при освоении программ подготовки специалистов среднего звена)?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практику?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другие виды учебной деятельности, определенные учебным планом и календарным планом воспитательной работы?</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20.</w:t>
            </w:r>
          </w:p>
        </w:tc>
        <w:tc>
          <w:tcPr>
            <w:tcW w:w="4365" w:type="dxa"/>
          </w:tcPr>
          <w:p>
            <w:pPr>
              <w:pStyle w:val="0"/>
              <w:jc w:val="both"/>
            </w:pPr>
            <w:r>
              <w:rPr>
                <w:sz w:val="20"/>
              </w:rPr>
              <w:t xml:space="preserve">Составляет ли академический час для всех видов учебных занятий 45 минут?</w:t>
            </w:r>
          </w:p>
        </w:tc>
        <w:tc>
          <w:tcPr>
            <w:tcW w:w="3572" w:type="dxa"/>
          </w:tcPr>
          <w:p>
            <w:pPr>
              <w:pStyle w:val="0"/>
              <w:jc w:val="center"/>
            </w:pPr>
            <w:hyperlink w:history="0" r:id="rId22"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28</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21.</w:t>
            </w:r>
          </w:p>
        </w:tc>
        <w:tc>
          <w:tcPr>
            <w:tcW w:w="4365" w:type="dxa"/>
          </w:tcPr>
          <w:p>
            <w:pPr>
              <w:pStyle w:val="0"/>
              <w:jc w:val="both"/>
            </w:pPr>
            <w:r>
              <w:rPr>
                <w:sz w:val="20"/>
              </w:rPr>
              <w:t xml:space="preserve">Не превышает ли объем учебных занятий и практики 36 академических часов в неделю?</w:t>
            </w:r>
          </w:p>
        </w:tc>
        <w:tc>
          <w:tcPr>
            <w:tcW w:w="3572" w:type="dxa"/>
          </w:tcPr>
          <w:p>
            <w:pPr>
              <w:pStyle w:val="0"/>
              <w:jc w:val="center"/>
            </w:pPr>
            <w:hyperlink w:history="0" r:id="rId23"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28</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22.</w:t>
            </w:r>
          </w:p>
        </w:tc>
        <w:tc>
          <w:tcPr>
            <w:tcW w:w="4365" w:type="dxa"/>
          </w:tcPr>
          <w:p>
            <w:pPr>
              <w:pStyle w:val="0"/>
              <w:jc w:val="both"/>
            </w:pPr>
            <w:r>
              <w:rPr>
                <w:sz w:val="20"/>
              </w:rPr>
              <w:t xml:space="preserve">Сопровождается ли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текущим контролем успеваемости и промежуточной аттестацией обучающихся?</w:t>
            </w:r>
          </w:p>
        </w:tc>
        <w:tc>
          <w:tcPr>
            <w:tcW w:w="3572" w:type="dxa"/>
          </w:tcPr>
          <w:p>
            <w:pPr>
              <w:pStyle w:val="0"/>
              <w:jc w:val="center"/>
            </w:pPr>
            <w:hyperlink w:history="0" r:id="rId24"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30</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23.</w:t>
            </w:r>
          </w:p>
        </w:tc>
        <w:tc>
          <w:tcPr>
            <w:tcW w:w="4365" w:type="dxa"/>
          </w:tcPr>
          <w:p>
            <w:pPr>
              <w:pStyle w:val="0"/>
              <w:jc w:val="both"/>
            </w:pPr>
            <w:r>
              <w:rPr>
                <w:sz w:val="20"/>
              </w:rPr>
              <w:t xml:space="preserve">Определены ли организацией формы, периодичность и порядок проведения текущего контроля успеваемости и промежуточной аттестации обучающихся?</w:t>
            </w:r>
          </w:p>
        </w:tc>
        <w:tc>
          <w:tcPr>
            <w:tcW w:w="3572" w:type="dxa"/>
          </w:tcPr>
          <w:p>
            <w:pPr>
              <w:pStyle w:val="0"/>
              <w:jc w:val="center"/>
            </w:pPr>
            <w:hyperlink w:history="0" r:id="rId25"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30</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24.</w:t>
            </w:r>
          </w:p>
        </w:tc>
        <w:tc>
          <w:tcPr>
            <w:tcW w:w="4365" w:type="dxa"/>
          </w:tcPr>
          <w:p>
            <w:pPr>
              <w:pStyle w:val="0"/>
              <w:jc w:val="both"/>
            </w:pPr>
            <w:r>
              <w:rPr>
                <w:sz w:val="20"/>
              </w:rPr>
              <w:t xml:space="preserve">Не превышает ли количество экзаменов в процессе промежуточной аттестации обучающихся превышать 8 экзаменов в учебном году?</w:t>
            </w:r>
          </w:p>
        </w:tc>
        <w:tc>
          <w:tcPr>
            <w:tcW w:w="3572" w:type="dxa"/>
          </w:tcPr>
          <w:p>
            <w:pPr>
              <w:pStyle w:val="0"/>
              <w:jc w:val="center"/>
            </w:pPr>
            <w:hyperlink w:history="0" r:id="rId26"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32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25.</w:t>
            </w:r>
          </w:p>
        </w:tc>
        <w:tc>
          <w:tcPr>
            <w:tcW w:w="4365" w:type="dxa"/>
          </w:tcPr>
          <w:p>
            <w:pPr>
              <w:pStyle w:val="0"/>
              <w:jc w:val="both"/>
            </w:pPr>
            <w:r>
              <w:rPr>
                <w:sz w:val="20"/>
              </w:rPr>
              <w:t xml:space="preserve">Не превышает ли количество зачетов в процессе промежуточной аттестации обучающихся превышать 10 зачетов в учебном году?</w:t>
            </w:r>
          </w:p>
        </w:tc>
        <w:tc>
          <w:tcPr>
            <w:tcW w:w="3572" w:type="dxa"/>
          </w:tcPr>
          <w:p>
            <w:pPr>
              <w:pStyle w:val="0"/>
              <w:jc w:val="center"/>
            </w:pPr>
            <w:hyperlink w:history="0" r:id="rId27"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32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26.</w:t>
            </w:r>
          </w:p>
        </w:tc>
        <w:tc>
          <w:tcPr>
            <w:tcW w:w="4365" w:type="dxa"/>
          </w:tcPr>
          <w:p>
            <w:pPr>
              <w:pStyle w:val="0"/>
              <w:jc w:val="both"/>
            </w:pPr>
            <w:r>
              <w:rPr>
                <w:sz w:val="20"/>
              </w:rPr>
              <w:t xml:space="preserve">Соблюдается ли организацией запрет на взимание платы за прохождение государственной итоговой аттестации, которой завершается освоение образовательных программ среднего общего образования?</w:t>
            </w:r>
          </w:p>
        </w:tc>
        <w:tc>
          <w:tcPr>
            <w:tcW w:w="3572" w:type="dxa"/>
          </w:tcPr>
          <w:p>
            <w:pPr>
              <w:pStyle w:val="0"/>
              <w:jc w:val="center"/>
            </w:pPr>
            <w:hyperlink w:history="0" r:id="rId28"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34</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27.</w:t>
            </w:r>
          </w:p>
        </w:tc>
        <w:tc>
          <w:tcPr>
            <w:tcW w:w="4365" w:type="dxa"/>
          </w:tcPr>
          <w:p>
            <w:pPr>
              <w:pStyle w:val="0"/>
              <w:jc w:val="both"/>
            </w:pPr>
            <w:r>
              <w:rPr>
                <w:sz w:val="20"/>
              </w:rPr>
              <w:t xml:space="preserve">Завершается ли предусмотренное образовательной программы среднего профессионального образования получение обучающимися профессионального обучения по профессии рабочего, должности служащего сдачей квалификационного экзамена?</w:t>
            </w:r>
          </w:p>
        </w:tc>
        <w:tc>
          <w:tcPr>
            <w:tcW w:w="3572" w:type="dxa"/>
          </w:tcPr>
          <w:p>
            <w:pPr>
              <w:pStyle w:val="0"/>
              <w:jc w:val="center"/>
            </w:pPr>
            <w:hyperlink w:history="0" r:id="rId29"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36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28.</w:t>
            </w:r>
          </w:p>
        </w:tc>
        <w:tc>
          <w:tcPr>
            <w:tcW w:w="4365" w:type="dxa"/>
          </w:tcPr>
          <w:p>
            <w:pPr>
              <w:pStyle w:val="0"/>
              <w:jc w:val="both"/>
            </w:pPr>
            <w:r>
              <w:rPr>
                <w:sz w:val="20"/>
              </w:rPr>
              <w:t xml:space="preserve">Хранится ли в личном деле выпускника (обучающегося, забравшего оригинал) заверенная копия документа об образовании, представленного при поступлении в организацию?</w:t>
            </w:r>
          </w:p>
        </w:tc>
        <w:tc>
          <w:tcPr>
            <w:tcW w:w="3572" w:type="dxa"/>
          </w:tcPr>
          <w:p>
            <w:pPr>
              <w:pStyle w:val="0"/>
              <w:jc w:val="center"/>
            </w:pPr>
            <w:hyperlink w:history="0" r:id="rId30"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37</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29.</w:t>
            </w:r>
          </w:p>
        </w:tc>
        <w:tc>
          <w:tcPr>
            <w:tcW w:w="4365" w:type="dxa"/>
          </w:tcPr>
          <w:p>
            <w:pPr>
              <w:pStyle w:val="0"/>
              <w:jc w:val="both"/>
            </w:pPr>
            <w:r>
              <w:rPr>
                <w:sz w:val="20"/>
              </w:rPr>
              <w:t xml:space="preserve">Осуществляется ли организацией обучение по образовательным программам среднего профессионального образования обучающихся с ограниченными возможностями здоровья с учетом особенностей психофизического развития, индивидуальных возможностей и состояния здоровья таких обучающихся?</w:t>
            </w:r>
          </w:p>
        </w:tc>
        <w:tc>
          <w:tcPr>
            <w:tcW w:w="3572" w:type="dxa"/>
          </w:tcPr>
          <w:p>
            <w:pPr>
              <w:pStyle w:val="0"/>
              <w:jc w:val="center"/>
            </w:pPr>
            <w:hyperlink w:history="0" r:id="rId31"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40</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30.</w:t>
            </w:r>
          </w:p>
        </w:tc>
        <w:tc>
          <w:tcPr>
            <w:tcW w:w="4365" w:type="dxa"/>
          </w:tcPr>
          <w:p>
            <w:pPr>
              <w:pStyle w:val="0"/>
              <w:jc w:val="both"/>
            </w:pPr>
            <w:r>
              <w:rPr>
                <w:sz w:val="20"/>
              </w:rPr>
              <w:t xml:space="preserve">Созданы ли организацией специальные условия для получения среднего профессионального образования обучающимися с ограниченными возможностями здоровья, предусмотренные </w:t>
            </w:r>
            <w:hyperlink w:history="0" r:id="rId32"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пунктом 41</w:t>
              </w:r>
            </w:hyperlink>
            <w:r>
              <w:rPr>
                <w:sz w:val="20"/>
              </w:rPr>
              <w:t xml:space="preserve"> Порядка N 464?</w:t>
            </w:r>
          </w:p>
        </w:tc>
        <w:tc>
          <w:tcPr>
            <w:tcW w:w="3572" w:type="dxa"/>
          </w:tcPr>
          <w:p>
            <w:pPr>
              <w:pStyle w:val="0"/>
              <w:jc w:val="center"/>
            </w:pPr>
            <w:hyperlink w:history="0" r:id="rId33"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41</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31.</w:t>
            </w:r>
          </w:p>
        </w:tc>
        <w:tc>
          <w:tcPr>
            <w:tcW w:w="4365" w:type="dxa"/>
          </w:tcPr>
          <w:p>
            <w:pPr>
              <w:pStyle w:val="0"/>
              <w:jc w:val="both"/>
            </w:pPr>
            <w:r>
              <w:rPr>
                <w:sz w:val="20"/>
              </w:rPr>
              <w:t xml:space="preserve">Обеспечивает ли организация для получения среднего профессионального образования:</w:t>
            </w:r>
          </w:p>
          <w:p>
            <w:pPr>
              <w:pStyle w:val="0"/>
              <w:jc w:val="both"/>
            </w:pPr>
            <w:r>
              <w:rPr>
                <w:sz w:val="20"/>
              </w:rPr>
              <w:t xml:space="preserve">а) для обучающихся с ограниченными возможностями здоровья по зрению:</w:t>
            </w:r>
          </w:p>
          <w:p>
            <w:pPr>
              <w:pStyle w:val="0"/>
              <w:jc w:val="both"/>
            </w:pPr>
            <w:r>
              <w:rPr>
                <w:sz w:val="20"/>
              </w:rPr>
              <w:t xml:space="preserve">- адаптацию официального сайта организации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tc>
        <w:tc>
          <w:tcPr>
            <w:tcW w:w="3572" w:type="dxa"/>
            <w:vMerge w:val="restart"/>
          </w:tcPr>
          <w:p>
            <w:pPr>
              <w:pStyle w:val="0"/>
              <w:jc w:val="center"/>
            </w:pPr>
            <w:hyperlink w:history="0" r:id="rId34"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42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присутствие ассистента, оказывающего обучающемуся необходимую помощь?</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обеспечение выпуска альтернативных форматов печатных материалов (крупный шрифт или аудиофайлы)?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обеспечение доступа обучающегося, являющегося слепым и использующего собаку-поводыря, к зданию организации, располагающего местом для размещения собаки-поводыря в часы обучения самого обучающегося?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б) для обучающихся с ограниченными возможностями здоровья по слуху:</w:t>
            </w:r>
          </w:p>
          <w:p>
            <w:pPr>
              <w:pStyle w:val="0"/>
              <w:jc w:val="both"/>
            </w:pPr>
            <w:r>
              <w:rPr>
                <w:sz w:val="20"/>
              </w:rP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обеспечение надлежащими звуковыми средствами воспроизведения информации?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в) для обучающихся, имеющих нарушения опорно-двигательного аппарата, материально-технические условия обеспечивают ли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w:t>
            </w:r>
          </w:p>
          <w:p>
            <w:pPr>
              <w:pStyle w:val="0"/>
              <w:jc w:val="both"/>
            </w:pPr>
            <w:r>
              <w:rPr>
                <w:sz w:val="20"/>
              </w:rPr>
              <w:t xml:space="preserve">- наличие специальных кресел и других приспособлений)?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32.</w:t>
            </w:r>
          </w:p>
        </w:tc>
        <w:tc>
          <w:tcPr>
            <w:tcW w:w="4365" w:type="dxa"/>
          </w:tcPr>
          <w:p>
            <w:pPr>
              <w:pStyle w:val="0"/>
              <w:jc w:val="both"/>
            </w:pPr>
            <w:r>
              <w:rPr>
                <w:sz w:val="20"/>
              </w:rPr>
              <w:t xml:space="preserve">Соблюдается ли численность обучающихся с ограниченными возможностями здоровья в учебной группе не более 15 человек?</w:t>
            </w:r>
          </w:p>
        </w:tc>
        <w:tc>
          <w:tcPr>
            <w:tcW w:w="3572" w:type="dxa"/>
          </w:tcPr>
          <w:p>
            <w:pPr>
              <w:pStyle w:val="0"/>
              <w:jc w:val="center"/>
            </w:pPr>
            <w:hyperlink w:history="0" r:id="rId35"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43</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33.</w:t>
            </w:r>
          </w:p>
        </w:tc>
        <w:tc>
          <w:tcPr>
            <w:tcW w:w="4365" w:type="dxa"/>
          </w:tcPr>
          <w:p>
            <w:pPr>
              <w:pStyle w:val="0"/>
              <w:jc w:val="both"/>
            </w:pPr>
            <w:r>
              <w:rPr>
                <w:sz w:val="20"/>
              </w:rPr>
              <w:t xml:space="preserve">Обеспечивает ли организация с учетом особых потребностей обучающихся с ограниченными возможностями здоровья предоставление учебных, лекционных материалов</w:t>
            </w:r>
          </w:p>
          <w:p>
            <w:pPr>
              <w:pStyle w:val="0"/>
              <w:jc w:val="both"/>
            </w:pPr>
            <w:r>
              <w:rPr>
                <w:sz w:val="20"/>
              </w:rPr>
              <w:t xml:space="preserve">в электронном виде?</w:t>
            </w:r>
          </w:p>
        </w:tc>
        <w:tc>
          <w:tcPr>
            <w:tcW w:w="3572" w:type="dxa"/>
          </w:tcPr>
          <w:p>
            <w:pPr>
              <w:pStyle w:val="0"/>
              <w:jc w:val="center"/>
            </w:pPr>
            <w:hyperlink w:history="0" r:id="rId36"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Пункт 44</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sectPr>
      <w:pgSz w:w="16838" w:h="11906" w:orient="landscape"/>
      <w:pgMar w:top="1133" w:right="1440" w:bottom="566" w:left="1440"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6F745AC8D49293AF0C84E9E7E4ECB9974EE5ADFACAC8FC4DA2A5B25656EFC3AE3D58537BD7569C373B15C651C38D615A8A747E9E5666F1D8e2XCK" TargetMode = "External"/>
	<Relationship Id="rId3" Type="http://schemas.openxmlformats.org/officeDocument/2006/relationships/hyperlink" Target="consultantplus://offline/ref=6F745AC8D49293AF0C84E9E7E4ECB99749E1A7FBCDCCFC4DA2A5B25656EFC3AE3D58537BD75694323B15C651C38D615A8A747E9E5666F1D8e2XCK" TargetMode = "External"/>
	<Relationship Id="rId4" Type="http://schemas.openxmlformats.org/officeDocument/2006/relationships/hyperlink" Target="consultantplus://offline/ref=6F745AC8D49293AF0C84E9E7E4ECB9974EE5ADFACAC8FC4DA2A5B25656EFC3AE3D58537BD7569C373B15C651C38D615A8A747E9E5666F1D8e2XCK" TargetMode = "External"/>
	<Relationship Id="rId5" Type="http://schemas.openxmlformats.org/officeDocument/2006/relationships/hyperlink" Target="consultantplus://offline/ref=6F745AC8D49293AF0C84E9E7E4ECB9974EE5ADFACAC8FC4DA2A5B25656EFC3AE3D58537BD7569C373B15C651C38D615A8A747E9E5666F1D8e2XCK" TargetMode = "External"/>
	<Relationship Id="rId6" Type="http://schemas.openxmlformats.org/officeDocument/2006/relationships/hyperlink" Target="consultantplus://offline/ref=6F745AC8D49293AF0C84E9E7E4ECB9974EE5ADFACAC8FC4DA2A5B25656EFC3AE3D58537CDC02CD706E13920799D96D448F6A7De9XCK" TargetMode = "External"/>
	<Relationship Id="rId7" Type="http://schemas.openxmlformats.org/officeDocument/2006/relationships/hyperlink" Target="consultantplus://offline/ref=6F745AC8D49293AF0C84E9E7E4ECB9974EE5ADFACAC8FC4DA2A5B25656EFC3AE3D58537CDC02CD706E13920799D96D448F6A7De9XCK" TargetMode = "External"/>
	<Relationship Id="rId8" Type="http://schemas.openxmlformats.org/officeDocument/2006/relationships/hyperlink" Target="consultantplus://offline/ref=6F745AC8D49293AF0C84E9E7E4ECB9974EE5ADFACAC8FC4DA2A5B25656EFC3AE3D58537BD7569C303C15C651C38D615A8A747E9E5666F1D8e2XCK" TargetMode = "External"/>
	<Relationship Id="rId9" Type="http://schemas.openxmlformats.org/officeDocument/2006/relationships/hyperlink" Target="consultantplus://offline/ref=6F745AC8D49293AF0C84E9E7E4ECB9974EE5ADFACAC8FC4DA2A5B25656EFC3AE3D585373DC02CD706E13920799D96D448F6A7De9XCK" TargetMode = "External"/>
	<Relationship Id="rId10" Type="http://schemas.openxmlformats.org/officeDocument/2006/relationships/hyperlink" Target="consultantplus://offline/ref=6F745AC8D49293AF0C84E9E7E4ECB9974EE5ADFACAC8FC4DA2A5B25656EFC3AE3D585373DC02CD706E13920799D96D448F6A7De9XCK" TargetMode = "External"/>
	<Relationship Id="rId11" Type="http://schemas.openxmlformats.org/officeDocument/2006/relationships/hyperlink" Target="consultantplus://offline/ref=6F745AC8D49293AF0C84E9E7E4ECB9974EE5ADFACAC8FC4DA2A5B25656EFC3AE3D58537BD7569C313F15C651C38D615A8A747E9E5666F1D8e2XCK" TargetMode = "External"/>
	<Relationship Id="rId12" Type="http://schemas.openxmlformats.org/officeDocument/2006/relationships/hyperlink" Target="consultantplus://offline/ref=6F745AC8D49293AF0C84E9E7E4ECB9974EE5ADFACAC8FC4DA2A5B25656EFC3AE3D58537BD7569C313E15C651C38D615A8A747E9E5666F1D8e2XCK" TargetMode = "External"/>
	<Relationship Id="rId13" Type="http://schemas.openxmlformats.org/officeDocument/2006/relationships/hyperlink" Target="consultantplus://offline/ref=6F745AC8D49293AF0C84E9E7E4ECB9974EE5ADFACAC8FC4DA2A5B25656EFC3AE3D58537BD65DC8657F4B9F0080C66D5B93687F9De4XBK" TargetMode = "External"/>
	<Relationship Id="rId14" Type="http://schemas.openxmlformats.org/officeDocument/2006/relationships/hyperlink" Target="consultantplus://offline/ref=6F745AC8D49293AF0C84E9E7E4ECB9974EE5ADFACAC8FC4DA2A5B25656EFC3AE3D58537BD7569C323315C651C38D615A8A747E9E5666F1D8e2XCK" TargetMode = "External"/>
	<Relationship Id="rId15" Type="http://schemas.openxmlformats.org/officeDocument/2006/relationships/hyperlink" Target="consultantplus://offline/ref=6F745AC8D49293AF0C84E9E7E4ECB9974EE5ADFACAC8FC4DA2A5B25656EFC3AE3D58537BD7569C333915C651C38D615A8A747E9E5666F1D8e2XCK" TargetMode = "External"/>
	<Relationship Id="rId16" Type="http://schemas.openxmlformats.org/officeDocument/2006/relationships/hyperlink" Target="consultantplus://offline/ref=6F745AC8D49293AF0C84E9E7E4ECB9974EE5ADFACAC8FC4DA2A5B25656EFC3AE3D58537BD7569C333C15C651C38D615A8A747E9E5666F1D8e2XCK" TargetMode = "External"/>
	<Relationship Id="rId17" Type="http://schemas.openxmlformats.org/officeDocument/2006/relationships/hyperlink" Target="consultantplus://offline/ref=6F745AC8D49293AF0C84E9E7E4ECB9974EE5ADFACAC8FC4DA2A5B25656EFC3AE3D58537BD7569C333315C651C38D615A8A747E9E5666F1D8e2XCK" TargetMode = "External"/>
	<Relationship Id="rId18" Type="http://schemas.openxmlformats.org/officeDocument/2006/relationships/hyperlink" Target="consultantplus://offline/ref=6F745AC8D49293AF0C84E9E7E4ECB9974EE5ADFACAC8FC4DA2A5B25656EFC3AE3D58537BD7569C333315C651C38D615A8A747E9E5666F1D8e2XCK" TargetMode = "External"/>
	<Relationship Id="rId19" Type="http://schemas.openxmlformats.org/officeDocument/2006/relationships/hyperlink" Target="consultantplus://offline/ref=6F745AC8D49293AF0C84E9E7E4ECB9974EE5ADFACAC8FC4DA2A5B25656EFC3AE3D58537BD7569C333315C651C38D615A8A747E9E5666F1D8e2XCK" TargetMode = "External"/>
	<Relationship Id="rId20" Type="http://schemas.openxmlformats.org/officeDocument/2006/relationships/hyperlink" Target="consultantplus://offline/ref=6F745AC8D49293AF0C84E9E7E4ECB9974EE5ADFACAC8FC4DA2A5B25656EFC3AE3D58537BD7569C333315C651C38D615A8A747E9E5666F1D8e2XCK" TargetMode = "External"/>
	<Relationship Id="rId21" Type="http://schemas.openxmlformats.org/officeDocument/2006/relationships/hyperlink" Target="consultantplus://offline/ref=6F745AC8D49293AF0C84E9E7E4ECB9974EE5ADFACAC8FC4DA2A5B25656EFC3AE3D58537BD35DC8657F4B9F0080C66D5B93687F9De4XBK" TargetMode = "External"/>
	<Relationship Id="rId22" Type="http://schemas.openxmlformats.org/officeDocument/2006/relationships/hyperlink" Target="consultantplus://offline/ref=6F745AC8D49293AF0C84E9E7E4ECB9974EE5ADFACAC8FC4DA2A5B25656EFC3AE3D58537BD35DC8657F4B9F0080C66D5B93687F9De4XBK" TargetMode = "External"/>
	<Relationship Id="rId23" Type="http://schemas.openxmlformats.org/officeDocument/2006/relationships/hyperlink" Target="consultantplus://offline/ref=6F745AC8D49293AF0C84E9E7E4ECB9974EE5ADFACAC8FC4DA2A5B25656EFC3AE3D58537BD35DC8657F4B9F0080C66D5B93687F9De4XBK" TargetMode = "External"/>
	<Relationship Id="rId24" Type="http://schemas.openxmlformats.org/officeDocument/2006/relationships/hyperlink" Target="consultantplus://offline/ref=6F745AC8D49293AF0C84E9E7E4ECB9974EE5ADFACAC8FC4DA2A5B25656EFC3AE3D58537BD7569C3C3D15C651C38D615A8A747E9E5666F1D8e2XCK" TargetMode = "External"/>
	<Relationship Id="rId25" Type="http://schemas.openxmlformats.org/officeDocument/2006/relationships/hyperlink" Target="consultantplus://offline/ref=6F745AC8D49293AF0C84E9E7E4ECB9974EE5ADFACAC8FC4DA2A5B25656EFC3AE3D58537BD7569C3C3D15C651C38D615A8A747E9E5666F1D8e2XCK" TargetMode = "External"/>
	<Relationship Id="rId26" Type="http://schemas.openxmlformats.org/officeDocument/2006/relationships/hyperlink" Target="consultantplus://offline/ref=6F745AC8D49293AF0C84E9E7E4ECB9974EE5ADFACAC8FC4DA2A5B25656EFC3AE3D58537BD7569C3D3B15C651C38D615A8A747E9E5666F1D8e2XCK" TargetMode = "External"/>
	<Relationship Id="rId27" Type="http://schemas.openxmlformats.org/officeDocument/2006/relationships/hyperlink" Target="consultantplus://offline/ref=6F745AC8D49293AF0C84E9E7E4ECB9974EE5ADFACAC8FC4DA2A5B25656EFC3AE3D58537BD7569C3D3B15C651C38D615A8A747E9E5666F1D8e2XCK" TargetMode = "External"/>
	<Relationship Id="rId28" Type="http://schemas.openxmlformats.org/officeDocument/2006/relationships/hyperlink" Target="consultantplus://offline/ref=6F745AC8D49293AF0C84E9E7E4ECB9974EE5ADFACAC8FC4DA2A5B25656EFC3AE3D58537BD7569C3D3315C651C38D615A8A747E9E5666F1D8e2XCK" TargetMode = "External"/>
	<Relationship Id="rId29" Type="http://schemas.openxmlformats.org/officeDocument/2006/relationships/hyperlink" Target="consultantplus://offline/ref=6F745AC8D49293AF0C84E9E7E4ECB9974EE5ADFACAC8FC4DA2A5B25656EFC3AE3D58537BD05DC8657F4B9F0080C66D5B93687F9De4XBK" TargetMode = "External"/>
	<Relationship Id="rId30" Type="http://schemas.openxmlformats.org/officeDocument/2006/relationships/hyperlink" Target="consultantplus://offline/ref=6F745AC8D49293AF0C84E9E7E4ECB9974EE5ADFACAC8FC4DA2A5B25656EFC3AE3D58537BD7569D343E15C651C38D615A8A747E9E5666F1D8e2XCK" TargetMode = "External"/>
	<Relationship Id="rId31" Type="http://schemas.openxmlformats.org/officeDocument/2006/relationships/hyperlink" Target="consultantplus://offline/ref=6F745AC8D49293AF0C84E9E7E4ECB9974EE5ADFACAC8FC4DA2A5B25656EFC3AE3D58537BD7569D353D15C651C38D615A8A747E9E5666F1D8e2XCK" TargetMode = "External"/>
	<Relationship Id="rId32" Type="http://schemas.openxmlformats.org/officeDocument/2006/relationships/hyperlink" Target="consultantplus://offline/ref=6F745AC8D49293AF0C84E9E7E4ECB9974EE5ADFACAC8FC4DA2A5B25656EFC3AE3D58537BD7569D353C15C651C38D615A8A747E9E5666F1D8e2XCK" TargetMode = "External"/>
	<Relationship Id="rId33" Type="http://schemas.openxmlformats.org/officeDocument/2006/relationships/hyperlink" Target="consultantplus://offline/ref=6F745AC8D49293AF0C84E9E7E4ECB9974EE5ADFACAC8FC4DA2A5B25656EFC3AE3D58537BD7569D353C15C651C38D615A8A747E9E5666F1D8e2XCK" TargetMode = "External"/>
	<Relationship Id="rId34" Type="http://schemas.openxmlformats.org/officeDocument/2006/relationships/hyperlink" Target="consultantplus://offline/ref=6F745AC8D49293AF0C84E9E7E4ECB9974EE5ADFACAC8FC4DA2A5B25656EFC3AE3D58537BD7569D363815C651C38D615A8A747E9E5666F1D8e2XCK" TargetMode = "External"/>
	<Relationship Id="rId35" Type="http://schemas.openxmlformats.org/officeDocument/2006/relationships/hyperlink" Target="consultantplus://offline/ref=6F745AC8D49293AF0C84E9E7E4ECB9974EE5ADFACAC8FC4DA2A5B25656EFC3AE3D58537BD7569D373F15C651C38D615A8A747E9E5666F1D8e2XCK" TargetMode = "External"/>
	<Relationship Id="rId36" Type="http://schemas.openxmlformats.org/officeDocument/2006/relationships/hyperlink" Target="consultantplus://offline/ref=6F745AC8D49293AF0C84E9E7E4ECB9974EE5ADFACAC8FC4DA2A5B25656EFC3AE3D58537BD7569D373315C651C38D615A8A747E9E5666F1D8e2XCK"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(Зарегистрировано в Минюсте России 03.10.2022 N 70346)</dc:title>
  <dcterms:created xsi:type="dcterms:W3CDTF">2023-11-07T10:23:30Z</dcterms:created>
</cp:coreProperties>
</file>